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7E9" w:rsidRDefault="00B177E9" w:rsidP="00B177E9">
      <w:pPr>
        <w:spacing w:after="0" w:line="240" w:lineRule="auto"/>
        <w:rPr>
          <w:rFonts w:ascii="Arial" w:eastAsia="Times New Roman" w:hAnsi="Arial" w:cs="Arial"/>
          <w:b/>
          <w:noProof/>
          <w:sz w:val="36"/>
          <w:szCs w:val="36"/>
          <w:lang w:eastAsia="de-DE"/>
        </w:rPr>
      </w:pPr>
      <w:r w:rsidRPr="00C83D52">
        <w:rPr>
          <w:rFonts w:ascii="Arial" w:eastAsia="Times New Roman" w:hAnsi="Arial" w:cs="Arial"/>
          <w:b/>
          <w:sz w:val="36"/>
          <w:szCs w:val="36"/>
          <w:lang w:eastAsia="de-DE"/>
        </w:rPr>
        <w:t>Messung der Pflanzenbeleuchtung</w:t>
      </w:r>
      <w:r w:rsidRPr="00C83D52">
        <w:rPr>
          <w:rFonts w:ascii="Arial" w:eastAsia="Times New Roman" w:hAnsi="Arial" w:cs="Arial"/>
          <w:b/>
          <w:sz w:val="36"/>
          <w:szCs w:val="36"/>
          <w:lang w:eastAsia="de-DE"/>
        </w:rPr>
        <w:br/>
      </w:r>
    </w:p>
    <w:p w:rsidR="00A373C7" w:rsidRDefault="00A373C7" w:rsidP="00B177E9">
      <w:pPr>
        <w:spacing w:after="0" w:line="240" w:lineRule="auto"/>
        <w:rPr>
          <w:rFonts w:ascii="Arial" w:eastAsia="Times New Roman" w:hAnsi="Arial" w:cs="Arial"/>
          <w:b/>
          <w:sz w:val="36"/>
          <w:szCs w:val="36"/>
          <w:lang w:eastAsia="de-DE"/>
        </w:rPr>
      </w:pPr>
      <w:r>
        <w:rPr>
          <w:rFonts w:ascii="Arial" w:eastAsia="Times New Roman" w:hAnsi="Arial" w:cs="Arial"/>
          <w:b/>
          <w:noProof/>
          <w:sz w:val="36"/>
          <w:szCs w:val="36"/>
          <w:lang w:eastAsia="de-DE"/>
        </w:rPr>
        <w:drawing>
          <wp:inline distT="0" distB="0" distL="0" distR="0">
            <wp:extent cx="6366510" cy="29978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SSEN_Blog_Pflanzen_LED[1].jpg"/>
                    <pic:cNvPicPr/>
                  </pic:nvPicPr>
                  <pic:blipFill>
                    <a:blip r:embed="rId7">
                      <a:extLst>
                        <a:ext uri="{28A0092B-C50C-407E-A947-70E740481C1C}">
                          <a14:useLocalDpi xmlns:a14="http://schemas.microsoft.com/office/drawing/2010/main" val="0"/>
                        </a:ext>
                      </a:extLst>
                    </a:blip>
                    <a:stretch>
                      <a:fillRect/>
                    </a:stretch>
                  </pic:blipFill>
                  <pic:spPr>
                    <a:xfrm>
                      <a:off x="0" y="0"/>
                      <a:ext cx="6366510" cy="2997835"/>
                    </a:xfrm>
                    <a:prstGeom prst="rect">
                      <a:avLst/>
                    </a:prstGeom>
                  </pic:spPr>
                </pic:pic>
              </a:graphicData>
            </a:graphic>
          </wp:inline>
        </w:drawing>
      </w:r>
    </w:p>
    <w:p w:rsidR="00A373C7" w:rsidRPr="00C83D52" w:rsidRDefault="00A373C7" w:rsidP="00B177E9">
      <w:pPr>
        <w:spacing w:after="0" w:line="240" w:lineRule="auto"/>
        <w:rPr>
          <w:rFonts w:ascii="Arial" w:eastAsia="Times New Roman" w:hAnsi="Arial" w:cs="Arial"/>
          <w:b/>
          <w:sz w:val="36"/>
          <w:szCs w:val="36"/>
          <w:lang w:eastAsia="de-DE"/>
        </w:rPr>
      </w:pPr>
    </w:p>
    <w:p w:rsidR="00B177E9" w:rsidRPr="00C83D52" w:rsidRDefault="00B177E9" w:rsidP="00B177E9">
      <w:pPr>
        <w:spacing w:after="0" w:line="240" w:lineRule="auto"/>
        <w:jc w:val="both"/>
        <w:rPr>
          <w:rFonts w:ascii="Arial" w:eastAsia="Times New Roman" w:hAnsi="Arial" w:cs="Arial"/>
          <w:lang w:eastAsia="de-DE"/>
        </w:rPr>
      </w:pPr>
      <w:r w:rsidRPr="00C83D52">
        <w:rPr>
          <w:rFonts w:ascii="Arial" w:eastAsia="Times New Roman" w:hAnsi="Arial" w:cs="Arial"/>
          <w:lang w:eastAsia="de-DE"/>
        </w:rPr>
        <w:t>Wenn Sie sich mit Beleuchtungssystemen für Gewächshäuser oder Pflanzenwachstum beschäftigen, dann finden Sie bei den Herstellern vielfältige Angaben zu den angebotenen Produkten. Dazu gehören Watt, Lumen, Lux, cd/m², PAR, PPF, PPFD und Photoneneffizienz. Wir möchten Ihnen einen kurzen Überblick geben, welche dieser Werte wirklich relevant für die Beurteilung der Pflanzenbeleuchtung sind und womit sie gemessen werden können.</w:t>
      </w:r>
    </w:p>
    <w:p w:rsidR="00B177E9" w:rsidRPr="00C83D52" w:rsidRDefault="00B177E9" w:rsidP="00B177E9">
      <w:pPr>
        <w:rPr>
          <w:rFonts w:ascii="Arial" w:hAnsi="Arial" w:cs="Arial"/>
        </w:rPr>
      </w:pPr>
    </w:p>
    <w:p w:rsidR="00B177E9" w:rsidRPr="00C83D52" w:rsidRDefault="00B177E9" w:rsidP="00B177E9">
      <w:pPr>
        <w:jc w:val="both"/>
        <w:rPr>
          <w:rFonts w:ascii="Arial" w:hAnsi="Arial" w:cs="Arial"/>
          <w:b/>
        </w:rPr>
      </w:pPr>
      <w:r w:rsidRPr="00C83D52">
        <w:rPr>
          <w:rFonts w:ascii="Arial" w:hAnsi="Arial" w:cs="Arial"/>
          <w:b/>
        </w:rPr>
        <w:t>Wahrnehmung von Licht</w:t>
      </w:r>
    </w:p>
    <w:p w:rsidR="00B177E9" w:rsidRPr="00C83D52" w:rsidRDefault="00B177E9" w:rsidP="00B177E9">
      <w:pPr>
        <w:jc w:val="both"/>
        <w:rPr>
          <w:rFonts w:ascii="Arial" w:hAnsi="Arial" w:cs="Arial"/>
        </w:rPr>
      </w:pPr>
      <w:r w:rsidRPr="00C83D52">
        <w:rPr>
          <w:rFonts w:ascii="Arial" w:hAnsi="Arial" w:cs="Arial"/>
        </w:rPr>
        <w:t xml:space="preserve">Menschen und viele andere Lebewesen nehmen Licht anders wahr als Pflanzen. Das Auge ist für sichtbare Strahlung je nach Wellenlänge unterschiedlich empfindlich. Beim Tagessehen oder </w:t>
      </w:r>
      <w:proofErr w:type="spellStart"/>
      <w:r w:rsidRPr="00C83D52">
        <w:rPr>
          <w:rFonts w:ascii="Arial" w:hAnsi="Arial" w:cs="Arial"/>
        </w:rPr>
        <w:t>photopischen</w:t>
      </w:r>
      <w:proofErr w:type="spellEnd"/>
      <w:r w:rsidRPr="00C83D52">
        <w:rPr>
          <w:rFonts w:ascii="Arial" w:hAnsi="Arial" w:cs="Arial"/>
        </w:rPr>
        <w:t xml:space="preserve"> Sehen gilt die </w:t>
      </w:r>
      <w:proofErr w:type="spellStart"/>
      <w:r w:rsidRPr="00C83D52">
        <w:rPr>
          <w:rFonts w:ascii="Arial" w:hAnsi="Arial" w:cs="Arial"/>
        </w:rPr>
        <w:t>Hellemfindlichkeitskurve</w:t>
      </w:r>
      <w:proofErr w:type="spellEnd"/>
      <w:r w:rsidRPr="00C83D52">
        <w:rPr>
          <w:rFonts w:ascii="Arial" w:hAnsi="Arial" w:cs="Arial"/>
        </w:rPr>
        <w:t xml:space="preserve"> V (ʎ) die ihr Maximum bei 555 </w:t>
      </w:r>
      <w:proofErr w:type="spellStart"/>
      <w:r w:rsidRPr="00C83D52">
        <w:rPr>
          <w:rFonts w:ascii="Arial" w:hAnsi="Arial" w:cs="Arial"/>
        </w:rPr>
        <w:t>nm</w:t>
      </w:r>
      <w:proofErr w:type="spellEnd"/>
      <w:r w:rsidRPr="00C83D52">
        <w:rPr>
          <w:rFonts w:ascii="Arial" w:hAnsi="Arial" w:cs="Arial"/>
        </w:rPr>
        <w:t xml:space="preserve"> (Gelb-Grün) hat. Im Auge sorgen die farbempfindlichen Zäpfchen dafür, dass wir Farben eindeutig erkennen. Beim Nachtsehen oder </w:t>
      </w:r>
      <w:proofErr w:type="spellStart"/>
      <w:r w:rsidRPr="00C83D52">
        <w:rPr>
          <w:rFonts w:ascii="Arial" w:hAnsi="Arial" w:cs="Arial"/>
        </w:rPr>
        <w:t>skotopischen</w:t>
      </w:r>
      <w:proofErr w:type="spellEnd"/>
      <w:r w:rsidRPr="00C83D52">
        <w:rPr>
          <w:rFonts w:ascii="Arial" w:hAnsi="Arial" w:cs="Arial"/>
        </w:rPr>
        <w:t xml:space="preserve"> Sehen gilt die </w:t>
      </w:r>
      <w:proofErr w:type="spellStart"/>
      <w:r w:rsidRPr="00C83D52">
        <w:rPr>
          <w:rFonts w:ascii="Arial" w:hAnsi="Arial" w:cs="Arial"/>
        </w:rPr>
        <w:t>Hellemfindlichkeitskurve</w:t>
      </w:r>
      <w:proofErr w:type="spellEnd"/>
      <w:r w:rsidRPr="00C83D52">
        <w:rPr>
          <w:rFonts w:ascii="Arial" w:hAnsi="Arial" w:cs="Arial"/>
        </w:rPr>
        <w:t xml:space="preserve"> V‘ (ʎ) die ihr Maximum bei 507 </w:t>
      </w:r>
      <w:proofErr w:type="spellStart"/>
      <w:r w:rsidRPr="00C83D52">
        <w:rPr>
          <w:rFonts w:ascii="Arial" w:hAnsi="Arial" w:cs="Arial"/>
        </w:rPr>
        <w:t>nm</w:t>
      </w:r>
      <w:proofErr w:type="spellEnd"/>
      <w:r w:rsidRPr="00C83D52">
        <w:rPr>
          <w:rFonts w:ascii="Arial" w:hAnsi="Arial" w:cs="Arial"/>
        </w:rPr>
        <w:t xml:space="preserve"> (Blau-Grün) hat. Im Auge sorgen die lichtempfindlichen Stäbchen dafür, dass wir bei diesen geringen Helligkeiten noch etwas sehen, jedoch keine Farben erkennen können. </w:t>
      </w:r>
    </w:p>
    <w:p w:rsidR="00B177E9" w:rsidRPr="00C83D52" w:rsidRDefault="00B177E9" w:rsidP="00B177E9">
      <w:pPr>
        <w:autoSpaceDE w:val="0"/>
        <w:autoSpaceDN w:val="0"/>
        <w:adjustRightInd w:val="0"/>
        <w:spacing w:after="0" w:line="240" w:lineRule="auto"/>
        <w:jc w:val="both"/>
        <w:rPr>
          <w:rFonts w:ascii="Arial" w:hAnsi="Arial" w:cs="Arial"/>
        </w:rPr>
      </w:pPr>
      <w:r w:rsidRPr="00C83D52">
        <w:rPr>
          <w:rFonts w:ascii="Arial" w:hAnsi="Arial" w:cs="Arial"/>
        </w:rPr>
        <w:t xml:space="preserve">Alle photometrischen Messgrößen, zu denen Lumen, Lux und cd/m² zählen, geben den Helligkeitseindruck des Menschen bei Tagessehen wieder, d.h. das Spektrum des Lichtes wird mit der </w:t>
      </w:r>
      <w:proofErr w:type="spellStart"/>
      <w:r w:rsidRPr="00C83D52">
        <w:rPr>
          <w:rFonts w:ascii="Arial" w:hAnsi="Arial" w:cs="Arial"/>
        </w:rPr>
        <w:t>Hellemfindlichkeitskurve</w:t>
      </w:r>
      <w:proofErr w:type="spellEnd"/>
      <w:r w:rsidRPr="00C83D52">
        <w:rPr>
          <w:rFonts w:ascii="Arial" w:hAnsi="Arial" w:cs="Arial"/>
        </w:rPr>
        <w:t xml:space="preserve"> V (ʎ) bewertet. Das grundlegende Problem bei der Verwendung von normalen Beleuchtungsstärke- oder Leuchtdichtemessgeräten zur Messung von Pflanzenbeleuchtung ist deshalb die Unterbewertung von blauem (400</w:t>
      </w:r>
      <w:r w:rsidR="00C139FA">
        <w:rPr>
          <w:rFonts w:ascii="Arial" w:hAnsi="Arial" w:cs="Arial"/>
        </w:rPr>
        <w:t xml:space="preserve"> </w:t>
      </w:r>
      <w:r w:rsidRPr="00C83D52">
        <w:rPr>
          <w:rFonts w:ascii="Arial" w:hAnsi="Arial" w:cs="Arial"/>
        </w:rPr>
        <w:t>-</w:t>
      </w:r>
      <w:r w:rsidR="00C139FA">
        <w:rPr>
          <w:rFonts w:ascii="Arial" w:hAnsi="Arial" w:cs="Arial"/>
        </w:rPr>
        <w:t xml:space="preserve"> </w:t>
      </w:r>
      <w:r w:rsidRPr="00C83D52">
        <w:rPr>
          <w:rFonts w:ascii="Arial" w:hAnsi="Arial" w:cs="Arial"/>
        </w:rPr>
        <w:t xml:space="preserve">500 </w:t>
      </w:r>
      <w:proofErr w:type="spellStart"/>
      <w:r w:rsidRPr="00C83D52">
        <w:rPr>
          <w:rFonts w:ascii="Arial" w:hAnsi="Arial" w:cs="Arial"/>
        </w:rPr>
        <w:t>nm</w:t>
      </w:r>
      <w:proofErr w:type="spellEnd"/>
      <w:r w:rsidRPr="00C83D52">
        <w:rPr>
          <w:rFonts w:ascii="Arial" w:hAnsi="Arial" w:cs="Arial"/>
        </w:rPr>
        <w:t>) und rotem (600</w:t>
      </w:r>
      <w:r w:rsidR="00C139FA">
        <w:rPr>
          <w:rFonts w:ascii="Arial" w:hAnsi="Arial" w:cs="Arial"/>
        </w:rPr>
        <w:t xml:space="preserve"> </w:t>
      </w:r>
      <w:r w:rsidRPr="00C83D52">
        <w:rPr>
          <w:rFonts w:ascii="Arial" w:hAnsi="Arial" w:cs="Arial"/>
        </w:rPr>
        <w:t xml:space="preserve">- 700 </w:t>
      </w:r>
      <w:proofErr w:type="spellStart"/>
      <w:r w:rsidRPr="00C83D52">
        <w:rPr>
          <w:rFonts w:ascii="Arial" w:hAnsi="Arial" w:cs="Arial"/>
        </w:rPr>
        <w:t>nm</w:t>
      </w:r>
      <w:proofErr w:type="spellEnd"/>
      <w:r w:rsidRPr="00C83D52">
        <w:rPr>
          <w:rFonts w:ascii="Arial" w:hAnsi="Arial" w:cs="Arial"/>
        </w:rPr>
        <w:t>) Licht im sichtbaren Spektrum. Menschen nehmen in diesen Bereichen das Licht nur noch mit reduzierter Hellempfindlichkeit war, aber gerade bei Pflanzen werden blaues und rotes Licht intensiv für die Photosynthese genutzt. Die oben genannten photometrischen Messgrößen sind deshalb nicht für die Beurteilung von Pflanzenbeleuchtungen geeignet.</w:t>
      </w:r>
    </w:p>
    <w:p w:rsidR="00C83D52" w:rsidRDefault="00C83D52" w:rsidP="00A373C7">
      <w:pPr>
        <w:spacing w:after="0" w:line="240" w:lineRule="auto"/>
        <w:jc w:val="center"/>
        <w:rPr>
          <w:rFonts w:ascii="Arial" w:hAnsi="Arial" w:cs="Arial"/>
          <w:b/>
        </w:rPr>
      </w:pPr>
      <w:r>
        <w:rPr>
          <w:rFonts w:ascii="Arial" w:hAnsi="Arial" w:cs="Arial"/>
          <w:b/>
        </w:rPr>
        <w:br w:type="page"/>
      </w:r>
      <w:bookmarkStart w:id="0" w:name="_GoBack"/>
      <w:r w:rsidR="00A373C7" w:rsidRPr="00C83D52">
        <w:rPr>
          <w:rFonts w:ascii="Arial" w:hAnsi="Arial" w:cs="Arial"/>
          <w:noProof/>
        </w:rPr>
        <w:lastRenderedPageBreak/>
        <w:drawing>
          <wp:inline distT="0" distB="0" distL="0" distR="0" wp14:anchorId="2FA92564" wp14:editId="070C38A3">
            <wp:extent cx="5760656" cy="34378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_Mensch_Pflanze.tif"/>
                    <pic:cNvPicPr/>
                  </pic:nvPicPr>
                  <pic:blipFill>
                    <a:blip r:embed="rId8">
                      <a:extLst>
                        <a:ext uri="{28A0092B-C50C-407E-A947-70E740481C1C}">
                          <a14:useLocalDpi xmlns:a14="http://schemas.microsoft.com/office/drawing/2010/main" val="0"/>
                        </a:ext>
                      </a:extLst>
                    </a:blip>
                    <a:stretch>
                      <a:fillRect/>
                    </a:stretch>
                  </pic:blipFill>
                  <pic:spPr>
                    <a:xfrm>
                      <a:off x="0" y="0"/>
                      <a:ext cx="5760656" cy="3437890"/>
                    </a:xfrm>
                    <a:prstGeom prst="rect">
                      <a:avLst/>
                    </a:prstGeom>
                  </pic:spPr>
                </pic:pic>
              </a:graphicData>
            </a:graphic>
          </wp:inline>
        </w:drawing>
      </w:r>
      <w:bookmarkEnd w:id="0"/>
    </w:p>
    <w:p w:rsidR="00A373C7" w:rsidRDefault="00A373C7" w:rsidP="00B177E9">
      <w:pPr>
        <w:jc w:val="both"/>
        <w:rPr>
          <w:rFonts w:ascii="Arial" w:hAnsi="Arial" w:cs="Arial"/>
          <w:b/>
        </w:rPr>
      </w:pPr>
    </w:p>
    <w:p w:rsidR="00A373C7" w:rsidRDefault="00A373C7" w:rsidP="00B177E9">
      <w:pPr>
        <w:jc w:val="both"/>
        <w:rPr>
          <w:rFonts w:ascii="Arial" w:hAnsi="Arial" w:cs="Arial"/>
          <w:b/>
        </w:rPr>
      </w:pPr>
    </w:p>
    <w:p w:rsidR="00B177E9" w:rsidRPr="00C83D52" w:rsidRDefault="00B177E9" w:rsidP="00B177E9">
      <w:pPr>
        <w:jc w:val="both"/>
        <w:rPr>
          <w:rFonts w:ascii="Arial" w:hAnsi="Arial" w:cs="Arial"/>
          <w:b/>
        </w:rPr>
      </w:pPr>
      <w:r w:rsidRPr="00C83D52">
        <w:rPr>
          <w:rFonts w:ascii="Arial" w:hAnsi="Arial" w:cs="Arial"/>
          <w:b/>
        </w:rPr>
        <w:t>PAR</w:t>
      </w:r>
      <w:bookmarkStart w:id="1" w:name="_Hlk530126839"/>
    </w:p>
    <w:p w:rsidR="00B177E9" w:rsidRPr="00C83D52" w:rsidRDefault="00B177E9" w:rsidP="00B177E9">
      <w:pPr>
        <w:jc w:val="both"/>
        <w:rPr>
          <w:rFonts w:ascii="Arial" w:hAnsi="Arial" w:cs="Arial"/>
        </w:rPr>
      </w:pPr>
      <w:r w:rsidRPr="00C83D52">
        <w:rPr>
          <w:rFonts w:ascii="Arial" w:hAnsi="Arial" w:cs="Arial"/>
        </w:rPr>
        <w:t xml:space="preserve">Die </w:t>
      </w:r>
      <w:bookmarkStart w:id="2" w:name="_Hlk530127656"/>
      <w:proofErr w:type="spellStart"/>
      <w:r w:rsidRPr="00C83D52">
        <w:rPr>
          <w:rFonts w:ascii="Arial" w:hAnsi="Arial" w:cs="Arial"/>
        </w:rPr>
        <w:t>photosynthetisch</w:t>
      </w:r>
      <w:proofErr w:type="spellEnd"/>
      <w:r w:rsidR="0095206E">
        <w:rPr>
          <w:rFonts w:ascii="Arial" w:hAnsi="Arial" w:cs="Arial"/>
        </w:rPr>
        <w:t xml:space="preserve"> </w:t>
      </w:r>
      <w:r w:rsidRPr="00C83D52">
        <w:rPr>
          <w:rFonts w:ascii="Arial" w:hAnsi="Arial" w:cs="Arial"/>
        </w:rPr>
        <w:t xml:space="preserve">aktive Strahlung PAR </w:t>
      </w:r>
      <w:bookmarkEnd w:id="1"/>
      <w:bookmarkEnd w:id="2"/>
      <w:r w:rsidRPr="00C139FA">
        <w:rPr>
          <w:rFonts w:ascii="Arial" w:hAnsi="Arial" w:cs="Arial"/>
        </w:rPr>
        <w:t>(</w:t>
      </w:r>
      <w:proofErr w:type="spellStart"/>
      <w:r w:rsidRPr="00C139FA">
        <w:rPr>
          <w:rFonts w:ascii="Arial" w:hAnsi="Arial" w:cs="Arial"/>
        </w:rPr>
        <w:t>Photosynthetically</w:t>
      </w:r>
      <w:proofErr w:type="spellEnd"/>
      <w:r w:rsidRPr="00C139FA">
        <w:rPr>
          <w:rFonts w:ascii="Arial" w:hAnsi="Arial" w:cs="Arial"/>
        </w:rPr>
        <w:t xml:space="preserve"> </w:t>
      </w:r>
      <w:proofErr w:type="spellStart"/>
      <w:r w:rsidRPr="00C139FA">
        <w:rPr>
          <w:rFonts w:ascii="Arial" w:hAnsi="Arial" w:cs="Arial"/>
        </w:rPr>
        <w:t>Active</w:t>
      </w:r>
      <w:proofErr w:type="spellEnd"/>
      <w:r w:rsidRPr="00C139FA">
        <w:rPr>
          <w:rFonts w:ascii="Arial" w:hAnsi="Arial" w:cs="Arial"/>
        </w:rPr>
        <w:t xml:space="preserve"> Radiation)</w:t>
      </w:r>
      <w:r w:rsidRPr="00C83D52">
        <w:rPr>
          <w:rFonts w:ascii="Arial" w:hAnsi="Arial" w:cs="Arial"/>
        </w:rPr>
        <w:t xml:space="preserve"> ist der Anteil der elektromagnetischen Strahlung im Bereich von 400 </w:t>
      </w:r>
      <w:proofErr w:type="spellStart"/>
      <w:r w:rsidRPr="00C83D52">
        <w:rPr>
          <w:rFonts w:ascii="Arial" w:hAnsi="Arial" w:cs="Arial"/>
        </w:rPr>
        <w:t>nm</w:t>
      </w:r>
      <w:proofErr w:type="spellEnd"/>
      <w:r w:rsidRPr="00C83D52">
        <w:rPr>
          <w:rFonts w:ascii="Arial" w:hAnsi="Arial" w:cs="Arial"/>
        </w:rPr>
        <w:t xml:space="preserve"> bis 700 </w:t>
      </w:r>
      <w:proofErr w:type="spellStart"/>
      <w:r w:rsidRPr="00C83D52">
        <w:rPr>
          <w:rFonts w:ascii="Arial" w:hAnsi="Arial" w:cs="Arial"/>
        </w:rPr>
        <w:t>nm</w:t>
      </w:r>
      <w:proofErr w:type="spellEnd"/>
      <w:r w:rsidRPr="00C83D52">
        <w:rPr>
          <w:rFonts w:ascii="Arial" w:hAnsi="Arial" w:cs="Arial"/>
        </w:rPr>
        <w:t xml:space="preserve"> des sichtbaren Lichtspektrums, welchen phototrope Organismen für die Photosynthese benötigen. Die Menge und die spektrale Zusammensetzung des PAR Lichts sind wesentliche Messgrößen für die Beurteilung der Pflanzen-beleuchtung.</w:t>
      </w:r>
    </w:p>
    <w:p w:rsidR="00B177E9" w:rsidRPr="00C83D52" w:rsidRDefault="00B177E9" w:rsidP="00B177E9">
      <w:pPr>
        <w:jc w:val="both"/>
        <w:rPr>
          <w:rFonts w:ascii="Arial" w:hAnsi="Arial" w:cs="Arial"/>
        </w:rPr>
      </w:pPr>
      <w:r w:rsidRPr="00C83D52">
        <w:rPr>
          <w:rFonts w:ascii="Arial" w:hAnsi="Arial" w:cs="Arial"/>
        </w:rPr>
        <w:t>Bei der Auswahl von Beleuchtungssystemen für den Gartenbau gibt es die folgenden 3 Aspekte:</w:t>
      </w:r>
    </w:p>
    <w:p w:rsidR="00B177E9" w:rsidRPr="00C83D52" w:rsidRDefault="00B177E9" w:rsidP="00B177E9">
      <w:pPr>
        <w:pStyle w:val="Listenabsatz"/>
        <w:numPr>
          <w:ilvl w:val="0"/>
          <w:numId w:val="5"/>
        </w:numPr>
        <w:rPr>
          <w:rFonts w:ascii="Arial" w:hAnsi="Arial" w:cs="Arial"/>
          <w:i/>
        </w:rPr>
      </w:pPr>
      <w:r w:rsidRPr="00C83D52">
        <w:rPr>
          <w:rFonts w:ascii="Arial" w:hAnsi="Arial" w:cs="Arial"/>
        </w:rPr>
        <w:t xml:space="preserve">Wie viel PAR, gemessen als PPF </w:t>
      </w:r>
      <w:r w:rsidRPr="00C139FA">
        <w:rPr>
          <w:rFonts w:ascii="Arial" w:hAnsi="Arial" w:cs="Arial"/>
        </w:rPr>
        <w:t>(</w:t>
      </w:r>
      <w:proofErr w:type="spellStart"/>
      <w:r w:rsidRPr="00C139FA">
        <w:rPr>
          <w:rFonts w:ascii="Arial" w:hAnsi="Arial" w:cs="Arial"/>
        </w:rPr>
        <w:t>Photosynthetic</w:t>
      </w:r>
      <w:proofErr w:type="spellEnd"/>
      <w:r w:rsidRPr="00C139FA">
        <w:rPr>
          <w:rFonts w:ascii="Arial" w:hAnsi="Arial" w:cs="Arial"/>
        </w:rPr>
        <w:t xml:space="preserve"> Photon </w:t>
      </w:r>
      <w:proofErr w:type="spellStart"/>
      <w:r w:rsidRPr="00C139FA">
        <w:rPr>
          <w:rFonts w:ascii="Arial" w:hAnsi="Arial" w:cs="Arial"/>
        </w:rPr>
        <w:t>Flux</w:t>
      </w:r>
      <w:proofErr w:type="spellEnd"/>
      <w:r w:rsidRPr="00C139FA">
        <w:rPr>
          <w:rFonts w:ascii="Arial" w:hAnsi="Arial" w:cs="Arial"/>
        </w:rPr>
        <w:t>)</w:t>
      </w:r>
      <w:r w:rsidRPr="00C83D52">
        <w:rPr>
          <w:rFonts w:ascii="Arial" w:hAnsi="Arial" w:cs="Arial"/>
        </w:rPr>
        <w:t xml:space="preserve"> erzeugt das System?</w:t>
      </w:r>
    </w:p>
    <w:p w:rsidR="00B177E9" w:rsidRPr="00C83D52" w:rsidRDefault="00B177E9" w:rsidP="00B177E9">
      <w:pPr>
        <w:pStyle w:val="Listenabsatz"/>
        <w:numPr>
          <w:ilvl w:val="0"/>
          <w:numId w:val="5"/>
        </w:numPr>
        <w:rPr>
          <w:rFonts w:ascii="Arial" w:hAnsi="Arial" w:cs="Arial"/>
        </w:rPr>
      </w:pPr>
      <w:r w:rsidRPr="00C83D52">
        <w:rPr>
          <w:rFonts w:ascii="Arial" w:hAnsi="Arial" w:cs="Arial"/>
        </w:rPr>
        <w:t xml:space="preserve">Wie viel PAR, gemessen als PPFD </w:t>
      </w:r>
      <w:r w:rsidRPr="00C139FA">
        <w:rPr>
          <w:rFonts w:ascii="Arial" w:hAnsi="Arial" w:cs="Arial"/>
        </w:rPr>
        <w:t>(</w:t>
      </w:r>
      <w:proofErr w:type="spellStart"/>
      <w:r w:rsidRPr="00C139FA">
        <w:rPr>
          <w:rFonts w:ascii="Arial" w:hAnsi="Arial" w:cs="Arial"/>
        </w:rPr>
        <w:t>Photosynthetically</w:t>
      </w:r>
      <w:proofErr w:type="spellEnd"/>
      <w:r w:rsidRPr="00C139FA">
        <w:rPr>
          <w:rFonts w:ascii="Arial" w:hAnsi="Arial" w:cs="Arial"/>
        </w:rPr>
        <w:t xml:space="preserve"> </w:t>
      </w:r>
      <w:proofErr w:type="spellStart"/>
      <w:r w:rsidRPr="00C139FA">
        <w:rPr>
          <w:rFonts w:ascii="Arial" w:hAnsi="Arial" w:cs="Arial"/>
        </w:rPr>
        <w:t>Active</w:t>
      </w:r>
      <w:proofErr w:type="spellEnd"/>
      <w:r w:rsidRPr="00C139FA">
        <w:rPr>
          <w:rFonts w:ascii="Arial" w:hAnsi="Arial" w:cs="Arial"/>
        </w:rPr>
        <w:t xml:space="preserve"> Photon </w:t>
      </w:r>
      <w:proofErr w:type="spellStart"/>
      <w:r w:rsidRPr="00C139FA">
        <w:rPr>
          <w:rFonts w:ascii="Arial" w:hAnsi="Arial" w:cs="Arial"/>
        </w:rPr>
        <w:t>Flux</w:t>
      </w:r>
      <w:proofErr w:type="spellEnd"/>
      <w:r w:rsidRPr="00C139FA">
        <w:rPr>
          <w:rFonts w:ascii="Arial" w:hAnsi="Arial" w:cs="Arial"/>
        </w:rPr>
        <w:t xml:space="preserve"> Density)</w:t>
      </w:r>
      <w:r w:rsidRPr="00C83D52">
        <w:rPr>
          <w:rFonts w:ascii="Arial" w:hAnsi="Arial" w:cs="Arial"/>
          <w:i/>
        </w:rPr>
        <w:t xml:space="preserve"> </w:t>
      </w:r>
      <w:r w:rsidRPr="00C83D52">
        <w:rPr>
          <w:rFonts w:ascii="Arial" w:hAnsi="Arial" w:cs="Arial"/>
        </w:rPr>
        <w:br/>
        <w:t>kommt momentan an den Pflanzen an?</w:t>
      </w:r>
    </w:p>
    <w:p w:rsidR="00B177E9" w:rsidRPr="00C83D52" w:rsidRDefault="00B177E9" w:rsidP="00B177E9">
      <w:pPr>
        <w:pStyle w:val="Listenabsatz"/>
        <w:numPr>
          <w:ilvl w:val="0"/>
          <w:numId w:val="5"/>
        </w:numPr>
        <w:rPr>
          <w:rFonts w:ascii="Arial" w:hAnsi="Arial" w:cs="Arial"/>
        </w:rPr>
      </w:pPr>
      <w:r w:rsidRPr="00C83D52">
        <w:rPr>
          <w:rFonts w:ascii="Arial" w:hAnsi="Arial" w:cs="Arial"/>
        </w:rPr>
        <w:t xml:space="preserve">Wie viel Energie benötigt das System zur Erzeugung der PAR für die Pflanzen? Ein sinnvolles Maß dafür ist PPE </w:t>
      </w:r>
      <w:r w:rsidRPr="00C139FA">
        <w:rPr>
          <w:rFonts w:ascii="Arial" w:hAnsi="Arial" w:cs="Arial"/>
        </w:rPr>
        <w:t>(</w:t>
      </w:r>
      <w:proofErr w:type="spellStart"/>
      <w:r w:rsidRPr="00C139FA">
        <w:rPr>
          <w:rFonts w:ascii="Arial" w:hAnsi="Arial" w:cs="Arial"/>
        </w:rPr>
        <w:t>Photosynthetic</w:t>
      </w:r>
      <w:proofErr w:type="spellEnd"/>
      <w:r w:rsidRPr="00C139FA">
        <w:rPr>
          <w:rFonts w:ascii="Arial" w:hAnsi="Arial" w:cs="Arial"/>
        </w:rPr>
        <w:t xml:space="preserve"> Photon </w:t>
      </w:r>
      <w:proofErr w:type="spellStart"/>
      <w:r w:rsidRPr="00C139FA">
        <w:rPr>
          <w:rFonts w:ascii="Arial" w:hAnsi="Arial" w:cs="Arial"/>
        </w:rPr>
        <w:t>Efficacy</w:t>
      </w:r>
      <w:proofErr w:type="spellEnd"/>
      <w:r w:rsidRPr="00C139FA">
        <w:rPr>
          <w:rFonts w:ascii="Arial" w:hAnsi="Arial" w:cs="Arial"/>
        </w:rPr>
        <w:t>).</w:t>
      </w:r>
    </w:p>
    <w:p w:rsidR="00B177E9" w:rsidRPr="00C83D52" w:rsidRDefault="00B177E9" w:rsidP="00B177E9">
      <w:pPr>
        <w:rPr>
          <w:rFonts w:ascii="Arial" w:hAnsi="Arial" w:cs="Arial"/>
        </w:rPr>
      </w:pPr>
      <w:r w:rsidRPr="00C83D52">
        <w:rPr>
          <w:rFonts w:ascii="Arial" w:hAnsi="Arial" w:cs="Arial"/>
        </w:rPr>
        <w:t>Die spektral abhängige Wirkung der PAR auf die Pflanzen macht eine integrale Angabe von PAR über den gesamten Bereich nur begrenzt sinnvoll.</w:t>
      </w:r>
    </w:p>
    <w:p w:rsidR="00A373C7" w:rsidRDefault="00A373C7" w:rsidP="00B177E9">
      <w:pPr>
        <w:jc w:val="both"/>
        <w:rPr>
          <w:rFonts w:ascii="Arial" w:hAnsi="Arial" w:cs="Arial"/>
          <w:b/>
        </w:rPr>
      </w:pPr>
    </w:p>
    <w:p w:rsidR="00B177E9" w:rsidRPr="00C83D52" w:rsidRDefault="00B177E9" w:rsidP="00B177E9">
      <w:pPr>
        <w:jc w:val="both"/>
        <w:rPr>
          <w:rFonts w:ascii="Arial" w:hAnsi="Arial" w:cs="Arial"/>
          <w:b/>
        </w:rPr>
      </w:pPr>
      <w:r w:rsidRPr="00C83D52">
        <w:rPr>
          <w:rFonts w:ascii="Arial" w:hAnsi="Arial" w:cs="Arial"/>
          <w:b/>
        </w:rPr>
        <w:t>PPF</w:t>
      </w:r>
    </w:p>
    <w:p w:rsidR="00B177E9" w:rsidRPr="00C83D52" w:rsidRDefault="00B177E9" w:rsidP="00B177E9">
      <w:pPr>
        <w:jc w:val="both"/>
        <w:rPr>
          <w:rFonts w:ascii="Arial" w:hAnsi="Arial" w:cs="Arial"/>
        </w:rPr>
      </w:pPr>
      <w:r w:rsidRPr="00C83D52">
        <w:rPr>
          <w:rFonts w:ascii="Arial" w:hAnsi="Arial" w:cs="Arial"/>
        </w:rPr>
        <w:t xml:space="preserve">Der </w:t>
      </w:r>
      <w:bookmarkStart w:id="3" w:name="_Hlk530127087"/>
      <w:proofErr w:type="spellStart"/>
      <w:r w:rsidRPr="00C83D52">
        <w:rPr>
          <w:rFonts w:ascii="Arial" w:hAnsi="Arial" w:cs="Arial"/>
        </w:rPr>
        <w:t>photosynthetische</w:t>
      </w:r>
      <w:proofErr w:type="spellEnd"/>
      <w:r w:rsidRPr="00C83D52">
        <w:rPr>
          <w:rFonts w:ascii="Arial" w:hAnsi="Arial" w:cs="Arial"/>
        </w:rPr>
        <w:t xml:space="preserve"> Photonenfluss PPF </w:t>
      </w:r>
      <w:bookmarkEnd w:id="3"/>
      <w:r w:rsidRPr="00C139FA">
        <w:rPr>
          <w:rFonts w:ascii="Arial" w:hAnsi="Arial" w:cs="Arial"/>
        </w:rPr>
        <w:t>(</w:t>
      </w:r>
      <w:proofErr w:type="spellStart"/>
      <w:r w:rsidRPr="00C139FA">
        <w:rPr>
          <w:rFonts w:ascii="Arial" w:hAnsi="Arial" w:cs="Arial"/>
        </w:rPr>
        <w:t>Photosynthetic</w:t>
      </w:r>
      <w:proofErr w:type="spellEnd"/>
      <w:r w:rsidRPr="00C139FA">
        <w:rPr>
          <w:rFonts w:ascii="Arial" w:hAnsi="Arial" w:cs="Arial"/>
        </w:rPr>
        <w:t xml:space="preserve"> Photon </w:t>
      </w:r>
      <w:proofErr w:type="spellStart"/>
      <w:r w:rsidRPr="00C139FA">
        <w:rPr>
          <w:rFonts w:ascii="Arial" w:hAnsi="Arial" w:cs="Arial"/>
        </w:rPr>
        <w:t>Flux</w:t>
      </w:r>
      <w:proofErr w:type="spellEnd"/>
      <w:r w:rsidRPr="00C139FA">
        <w:rPr>
          <w:rFonts w:ascii="Arial" w:hAnsi="Arial" w:cs="Arial"/>
        </w:rPr>
        <w:t>)</w:t>
      </w:r>
      <w:r w:rsidRPr="00C83D52">
        <w:rPr>
          <w:rFonts w:ascii="Arial" w:hAnsi="Arial" w:cs="Arial"/>
          <w:i/>
        </w:rPr>
        <w:t xml:space="preserve"> </w:t>
      </w:r>
      <w:r w:rsidRPr="00C83D52">
        <w:rPr>
          <w:rFonts w:ascii="Arial" w:hAnsi="Arial" w:cs="Arial"/>
        </w:rPr>
        <w:t xml:space="preserve">mit der Einheit </w:t>
      </w:r>
      <w:proofErr w:type="spellStart"/>
      <w:r w:rsidRPr="00C83D52">
        <w:rPr>
          <w:rFonts w:ascii="Arial" w:hAnsi="Arial" w:cs="Arial"/>
        </w:rPr>
        <w:t>μmol</w:t>
      </w:r>
      <w:proofErr w:type="spellEnd"/>
      <w:r w:rsidRPr="00C83D52">
        <w:rPr>
          <w:rFonts w:ascii="Arial" w:hAnsi="Arial" w:cs="Arial"/>
        </w:rPr>
        <w:t xml:space="preserve">/s </w:t>
      </w:r>
      <w:r w:rsidRPr="00C139FA">
        <w:rPr>
          <w:rFonts w:ascii="Arial" w:hAnsi="Arial" w:cs="Arial"/>
        </w:rPr>
        <w:t xml:space="preserve">(Mikromol pro Sekunde) </w:t>
      </w:r>
      <w:r w:rsidRPr="00C83D52">
        <w:rPr>
          <w:rFonts w:ascii="Arial" w:hAnsi="Arial" w:cs="Arial"/>
        </w:rPr>
        <w:t>ist die gesamte PAR die von einem Beleuchtungssystem pro Sekunde erzeugt wird. Dieser Wert wird normalerweise im Lichtlabor mit einer Ulbricht Kugel und einem speziellen Messgerät gemessen. Er sagt nicht aus, wie viel des gemessenen Lichts tatsächlich auf der Pflanze landet, ist aber eine wichtige Kennzahl für die Berechnung der Effizienz eines Beleuchtungssystems zur Erzeugung von PAR.</w:t>
      </w:r>
    </w:p>
    <w:p w:rsidR="00B177E9" w:rsidRPr="00C83D52" w:rsidRDefault="00B177E9" w:rsidP="00B177E9">
      <w:pPr>
        <w:rPr>
          <w:rFonts w:ascii="Arial" w:hAnsi="Arial" w:cs="Arial"/>
          <w:b/>
        </w:rPr>
      </w:pPr>
      <w:r w:rsidRPr="00C83D52">
        <w:rPr>
          <w:rFonts w:ascii="Arial" w:hAnsi="Arial" w:cs="Arial"/>
          <w:b/>
        </w:rPr>
        <w:lastRenderedPageBreak/>
        <w:t>PPFD</w:t>
      </w:r>
    </w:p>
    <w:p w:rsidR="00B177E9" w:rsidRPr="00C83D52" w:rsidRDefault="00B177E9" w:rsidP="00B177E9">
      <w:pPr>
        <w:jc w:val="both"/>
        <w:rPr>
          <w:rFonts w:ascii="Arial" w:hAnsi="Arial" w:cs="Arial"/>
        </w:rPr>
      </w:pPr>
      <w:r w:rsidRPr="00C83D52">
        <w:rPr>
          <w:rFonts w:ascii="Arial" w:hAnsi="Arial" w:cs="Arial"/>
        </w:rPr>
        <w:t xml:space="preserve">Die </w:t>
      </w:r>
      <w:proofErr w:type="spellStart"/>
      <w:r w:rsidRPr="00C83D52">
        <w:rPr>
          <w:rFonts w:ascii="Arial" w:hAnsi="Arial" w:cs="Arial"/>
        </w:rPr>
        <w:t>photosynthetische</w:t>
      </w:r>
      <w:proofErr w:type="spellEnd"/>
      <w:r w:rsidRPr="00C83D52">
        <w:rPr>
          <w:rFonts w:ascii="Arial" w:hAnsi="Arial" w:cs="Arial"/>
        </w:rPr>
        <w:t xml:space="preserve"> Photonenflussdichte PPFD </w:t>
      </w:r>
      <w:r w:rsidRPr="00C139FA">
        <w:rPr>
          <w:rFonts w:ascii="Arial" w:hAnsi="Arial" w:cs="Arial"/>
        </w:rPr>
        <w:t>(</w:t>
      </w:r>
      <w:proofErr w:type="spellStart"/>
      <w:r w:rsidRPr="00C139FA">
        <w:rPr>
          <w:rFonts w:ascii="Arial" w:hAnsi="Arial" w:cs="Arial"/>
        </w:rPr>
        <w:t>Photosynthetically</w:t>
      </w:r>
      <w:proofErr w:type="spellEnd"/>
      <w:r w:rsidRPr="00C139FA">
        <w:rPr>
          <w:rFonts w:ascii="Arial" w:hAnsi="Arial" w:cs="Arial"/>
        </w:rPr>
        <w:t xml:space="preserve"> </w:t>
      </w:r>
      <w:proofErr w:type="spellStart"/>
      <w:r w:rsidRPr="00C139FA">
        <w:rPr>
          <w:rFonts w:ascii="Arial" w:hAnsi="Arial" w:cs="Arial"/>
        </w:rPr>
        <w:t>Active</w:t>
      </w:r>
      <w:proofErr w:type="spellEnd"/>
      <w:r w:rsidRPr="00C139FA">
        <w:rPr>
          <w:rFonts w:ascii="Arial" w:hAnsi="Arial" w:cs="Arial"/>
        </w:rPr>
        <w:t xml:space="preserve"> Photon </w:t>
      </w:r>
      <w:proofErr w:type="spellStart"/>
      <w:r w:rsidRPr="00C139FA">
        <w:rPr>
          <w:rFonts w:ascii="Arial" w:hAnsi="Arial" w:cs="Arial"/>
        </w:rPr>
        <w:t>Flux</w:t>
      </w:r>
      <w:proofErr w:type="spellEnd"/>
      <w:r w:rsidRPr="00C139FA">
        <w:rPr>
          <w:rFonts w:ascii="Arial" w:hAnsi="Arial" w:cs="Arial"/>
        </w:rPr>
        <w:t xml:space="preserve"> Density</w:t>
      </w:r>
      <w:r w:rsidRPr="00C83D52">
        <w:rPr>
          <w:rFonts w:ascii="Arial" w:hAnsi="Arial" w:cs="Arial"/>
          <w:i/>
        </w:rPr>
        <w:t>)</w:t>
      </w:r>
      <w:r w:rsidRPr="00C83D52">
        <w:rPr>
          <w:rFonts w:ascii="Arial" w:hAnsi="Arial" w:cs="Arial"/>
        </w:rPr>
        <w:t xml:space="preserve"> mit der Einheit µ</w:t>
      </w:r>
      <w:proofErr w:type="spellStart"/>
      <w:r w:rsidRPr="00C83D52">
        <w:rPr>
          <w:rFonts w:ascii="Arial" w:hAnsi="Arial" w:cs="Arial"/>
        </w:rPr>
        <w:t>mol</w:t>
      </w:r>
      <w:proofErr w:type="spellEnd"/>
      <w:r w:rsidRPr="00C83D52">
        <w:rPr>
          <w:rFonts w:ascii="Arial" w:hAnsi="Arial" w:cs="Arial"/>
        </w:rPr>
        <w:t>/m</w:t>
      </w:r>
      <w:r w:rsidRPr="00C83D52">
        <w:rPr>
          <w:rFonts w:ascii="Arial" w:hAnsi="Arial" w:cs="Arial"/>
          <w:vertAlign w:val="superscript"/>
        </w:rPr>
        <w:t>2</w:t>
      </w:r>
      <w:r w:rsidRPr="00C83D52">
        <w:rPr>
          <w:rFonts w:ascii="Arial" w:hAnsi="Arial" w:cs="Arial"/>
        </w:rPr>
        <w:t xml:space="preserve">s </w:t>
      </w:r>
      <w:r w:rsidRPr="0095206E">
        <w:rPr>
          <w:rFonts w:ascii="Arial" w:hAnsi="Arial" w:cs="Arial"/>
        </w:rPr>
        <w:t xml:space="preserve">(Mikromol pro Quadratmeter pro Sekunde) </w:t>
      </w:r>
      <w:r w:rsidRPr="00C83D52">
        <w:rPr>
          <w:rFonts w:ascii="Arial" w:hAnsi="Arial" w:cs="Arial"/>
        </w:rPr>
        <w:t xml:space="preserve">ist ein Maß für die Menge an PAR, die tatsächlich den Pflanzen zur Verfügung steht. Sie gibt die Anzahl der </w:t>
      </w:r>
      <w:proofErr w:type="spellStart"/>
      <w:r w:rsidRPr="00C83D52">
        <w:rPr>
          <w:rFonts w:ascii="Arial" w:hAnsi="Arial" w:cs="Arial"/>
        </w:rPr>
        <w:t>photosynthetisch</w:t>
      </w:r>
      <w:proofErr w:type="spellEnd"/>
      <w:r w:rsidRPr="00C83D52">
        <w:rPr>
          <w:rFonts w:ascii="Arial" w:hAnsi="Arial" w:cs="Arial"/>
        </w:rPr>
        <w:t xml:space="preserve"> aktiven Photonen wieder, die jede Sekunde auf eine bestimmte Oberfläche fallen.</w:t>
      </w:r>
    </w:p>
    <w:p w:rsidR="00B177E9" w:rsidRPr="00C83D52" w:rsidRDefault="00B177E9" w:rsidP="00B177E9">
      <w:pPr>
        <w:jc w:val="both"/>
        <w:rPr>
          <w:rFonts w:ascii="Arial" w:hAnsi="Arial" w:cs="Arial"/>
        </w:rPr>
      </w:pPr>
      <w:r w:rsidRPr="00C83D52">
        <w:rPr>
          <w:rFonts w:ascii="Arial" w:hAnsi="Arial" w:cs="Arial"/>
        </w:rPr>
        <w:t xml:space="preserve">Bei einer beleuchteten Pflanzfläche reicht es nicht aus nur an einem Punkt zu messen, da meistens keine gleichmäßige Ausleuchtung vorhanden ist. Häufig ist die Lichtintensität in der Mitte des Beleuchtungssystems am stärksten und nimmt zum Rand der Anbaufläche hin ab. Es ist deshalb empfehlenswert ein Messraster über die Anbaufläche festzulegen, mehrere Messungen durchzuführen und die horizontalen sowie vertikalen Koordinaten zusammen mit dem Messergebnis zu dokumentieren. Aus den ermittelten Werten lässt sich dann der Mittelwert </w:t>
      </w:r>
      <w:proofErr w:type="spellStart"/>
      <w:r w:rsidRPr="00C83D52">
        <w:rPr>
          <w:rFonts w:ascii="Arial" w:hAnsi="Arial" w:cs="Arial"/>
        </w:rPr>
        <w:t>PPFD</w:t>
      </w:r>
      <w:r w:rsidRPr="00C83D52">
        <w:rPr>
          <w:rFonts w:ascii="Arial" w:hAnsi="Arial" w:cs="Arial"/>
          <w:vertAlign w:val="subscript"/>
        </w:rPr>
        <w:t>avg</w:t>
      </w:r>
      <w:proofErr w:type="spellEnd"/>
      <w:r w:rsidRPr="00C83D52">
        <w:rPr>
          <w:rFonts w:ascii="Arial" w:hAnsi="Arial" w:cs="Arial"/>
        </w:rPr>
        <w:t xml:space="preserve"> und die Ungleichmäßigkeit </w:t>
      </w:r>
      <w:proofErr w:type="spellStart"/>
      <w:r w:rsidRPr="00C83D52">
        <w:rPr>
          <w:rFonts w:ascii="Arial" w:hAnsi="Arial" w:cs="Arial"/>
        </w:rPr>
        <w:t>PPFD</w:t>
      </w:r>
      <w:r w:rsidRPr="00C83D52">
        <w:rPr>
          <w:rFonts w:ascii="Arial" w:hAnsi="Arial" w:cs="Arial"/>
          <w:vertAlign w:val="subscript"/>
        </w:rPr>
        <w:t>min</w:t>
      </w:r>
      <w:proofErr w:type="spellEnd"/>
      <w:r w:rsidRPr="00C83D52">
        <w:rPr>
          <w:rFonts w:ascii="Arial" w:hAnsi="Arial" w:cs="Arial"/>
        </w:rPr>
        <w:t xml:space="preserve"> / </w:t>
      </w:r>
      <w:proofErr w:type="spellStart"/>
      <w:r w:rsidRPr="00C83D52">
        <w:rPr>
          <w:rFonts w:ascii="Arial" w:hAnsi="Arial" w:cs="Arial"/>
        </w:rPr>
        <w:t>PPFD</w:t>
      </w:r>
      <w:r w:rsidRPr="00C83D52">
        <w:rPr>
          <w:rFonts w:ascii="Arial" w:hAnsi="Arial" w:cs="Arial"/>
          <w:vertAlign w:val="subscript"/>
        </w:rPr>
        <w:t>max</w:t>
      </w:r>
      <w:proofErr w:type="spellEnd"/>
      <w:r w:rsidRPr="00C83D52">
        <w:rPr>
          <w:rFonts w:ascii="Arial" w:hAnsi="Arial" w:cs="Arial"/>
          <w:vertAlign w:val="subscript"/>
        </w:rPr>
        <w:t xml:space="preserve"> </w:t>
      </w:r>
      <w:r w:rsidRPr="00C83D52">
        <w:rPr>
          <w:rFonts w:ascii="Arial" w:hAnsi="Arial" w:cs="Arial"/>
        </w:rPr>
        <w:t xml:space="preserve">berechnen. </w:t>
      </w:r>
    </w:p>
    <w:p w:rsidR="00A373C7" w:rsidRDefault="00A373C7" w:rsidP="00B177E9">
      <w:pPr>
        <w:rPr>
          <w:rFonts w:ascii="Arial" w:hAnsi="Arial" w:cs="Arial"/>
          <w:b/>
        </w:rPr>
      </w:pPr>
    </w:p>
    <w:p w:rsidR="00B177E9" w:rsidRPr="00C83D52" w:rsidRDefault="00B177E9" w:rsidP="00B177E9">
      <w:pPr>
        <w:rPr>
          <w:rFonts w:ascii="Arial" w:hAnsi="Arial" w:cs="Arial"/>
          <w:b/>
        </w:rPr>
      </w:pPr>
      <w:r w:rsidRPr="00C83D52">
        <w:rPr>
          <w:rFonts w:ascii="Arial" w:hAnsi="Arial" w:cs="Arial"/>
          <w:b/>
        </w:rPr>
        <w:t>Photoneneffizienz</w:t>
      </w:r>
    </w:p>
    <w:p w:rsidR="00B177E9" w:rsidRPr="00C83D52" w:rsidRDefault="00B177E9" w:rsidP="00B177E9">
      <w:pPr>
        <w:jc w:val="both"/>
        <w:rPr>
          <w:rFonts w:ascii="Arial" w:hAnsi="Arial" w:cs="Arial"/>
        </w:rPr>
      </w:pPr>
      <w:r w:rsidRPr="00C83D52">
        <w:rPr>
          <w:rFonts w:ascii="Arial" w:hAnsi="Arial" w:cs="Arial"/>
        </w:rPr>
        <w:t xml:space="preserve">Die Effizienz eines Beleuchtungssystems für Pflanzen wird häufig angegeben als Verhältnis des erzeugten </w:t>
      </w:r>
      <w:proofErr w:type="spellStart"/>
      <w:r w:rsidRPr="00C83D52">
        <w:rPr>
          <w:rFonts w:ascii="Arial" w:hAnsi="Arial" w:cs="Arial"/>
        </w:rPr>
        <w:t>photosynthetische</w:t>
      </w:r>
      <w:r w:rsidR="00A373C7">
        <w:rPr>
          <w:rFonts w:ascii="Arial" w:hAnsi="Arial" w:cs="Arial"/>
        </w:rPr>
        <w:t>n</w:t>
      </w:r>
      <w:proofErr w:type="spellEnd"/>
      <w:r w:rsidRPr="00C83D52">
        <w:rPr>
          <w:rFonts w:ascii="Arial" w:hAnsi="Arial" w:cs="Arial"/>
        </w:rPr>
        <w:t xml:space="preserve"> Photonenfluss</w:t>
      </w:r>
      <w:r w:rsidR="00A373C7">
        <w:rPr>
          <w:rFonts w:ascii="Arial" w:hAnsi="Arial" w:cs="Arial"/>
        </w:rPr>
        <w:t xml:space="preserve">es </w:t>
      </w:r>
      <w:r w:rsidRPr="00C83D52">
        <w:rPr>
          <w:rFonts w:ascii="Arial" w:hAnsi="Arial" w:cs="Arial"/>
        </w:rPr>
        <w:t>PPF in µ</w:t>
      </w:r>
      <w:proofErr w:type="spellStart"/>
      <w:r w:rsidRPr="00C83D52">
        <w:rPr>
          <w:rFonts w:ascii="Arial" w:hAnsi="Arial" w:cs="Arial"/>
        </w:rPr>
        <w:t>mol</w:t>
      </w:r>
      <w:proofErr w:type="spellEnd"/>
      <w:r w:rsidRPr="00C83D52">
        <w:rPr>
          <w:rFonts w:ascii="Arial" w:hAnsi="Arial" w:cs="Arial"/>
        </w:rPr>
        <w:t xml:space="preserve">/s zur eingesetzten elektrischen Leistung in Watt </w:t>
      </w:r>
      <w:r w:rsidRPr="0095206E">
        <w:rPr>
          <w:rFonts w:ascii="Arial" w:hAnsi="Arial" w:cs="Arial"/>
        </w:rPr>
        <w:t>(gleich Joule/s).</w:t>
      </w:r>
      <w:r w:rsidRPr="00C83D52">
        <w:rPr>
          <w:rFonts w:ascii="Arial" w:hAnsi="Arial" w:cs="Arial"/>
        </w:rPr>
        <w:t xml:space="preserve"> Als Einheit für die Effizienz ergibt sich µ</w:t>
      </w:r>
      <w:proofErr w:type="spellStart"/>
      <w:r w:rsidRPr="00C83D52">
        <w:rPr>
          <w:rFonts w:ascii="Arial" w:hAnsi="Arial" w:cs="Arial"/>
        </w:rPr>
        <w:t>mol</w:t>
      </w:r>
      <w:proofErr w:type="spellEnd"/>
      <w:r w:rsidRPr="00C83D52">
        <w:rPr>
          <w:rFonts w:ascii="Arial" w:hAnsi="Arial" w:cs="Arial"/>
        </w:rPr>
        <w:t>/</w:t>
      </w:r>
      <w:r w:rsidRPr="0095206E">
        <w:rPr>
          <w:rFonts w:ascii="Arial" w:hAnsi="Arial" w:cs="Arial"/>
        </w:rPr>
        <w:t>J (Mikromol pro Joule).</w:t>
      </w:r>
      <w:r w:rsidRPr="00C83D52">
        <w:rPr>
          <w:rFonts w:ascii="Arial" w:hAnsi="Arial" w:cs="Arial"/>
        </w:rPr>
        <w:t xml:space="preserve"> Je höher diese Zahl ist, umso mehr elektrische Energie wird in </w:t>
      </w:r>
      <w:proofErr w:type="spellStart"/>
      <w:r w:rsidRPr="00C83D52">
        <w:rPr>
          <w:rFonts w:ascii="Arial" w:hAnsi="Arial" w:cs="Arial"/>
        </w:rPr>
        <w:t>photosynthetisch</w:t>
      </w:r>
      <w:proofErr w:type="spellEnd"/>
      <w:r w:rsidRPr="00C83D52">
        <w:rPr>
          <w:rFonts w:ascii="Arial" w:hAnsi="Arial" w:cs="Arial"/>
        </w:rPr>
        <w:t xml:space="preserve"> aktive Strahlung PAR umgewandelt und umso effizienter ist das Beleuchtungssystem.</w:t>
      </w:r>
    </w:p>
    <w:p w:rsidR="00C83D52" w:rsidRDefault="00B177E9" w:rsidP="00B177E9">
      <w:pPr>
        <w:jc w:val="both"/>
        <w:rPr>
          <w:rFonts w:ascii="Arial" w:hAnsi="Arial" w:cs="Arial"/>
        </w:rPr>
      </w:pPr>
      <w:r w:rsidRPr="00C83D52">
        <w:rPr>
          <w:rFonts w:ascii="Arial" w:hAnsi="Arial" w:cs="Arial"/>
        </w:rPr>
        <w:t xml:space="preserve">Eine häufige Angabe der elektrischen Leistung in Watt, bezogen auf die beleuchtete Fläche in m² ist nicht aussagefähig, da dabei die erzeugte </w:t>
      </w:r>
      <w:proofErr w:type="spellStart"/>
      <w:r w:rsidRPr="00C83D52">
        <w:rPr>
          <w:rFonts w:ascii="Arial" w:hAnsi="Arial" w:cs="Arial"/>
        </w:rPr>
        <w:t>photosynthetisch</w:t>
      </w:r>
      <w:proofErr w:type="spellEnd"/>
      <w:r w:rsidRPr="00C83D52">
        <w:rPr>
          <w:rFonts w:ascii="Arial" w:hAnsi="Arial" w:cs="Arial"/>
        </w:rPr>
        <w:t xml:space="preserve"> aktive Strahlung PAR nicht berücksichtigt wird.</w:t>
      </w:r>
    </w:p>
    <w:p w:rsidR="00A373C7" w:rsidRDefault="00A373C7" w:rsidP="00C83D52">
      <w:pPr>
        <w:spacing w:after="0" w:line="240" w:lineRule="auto"/>
        <w:rPr>
          <w:rFonts w:ascii="Arial" w:hAnsi="Arial" w:cs="Arial"/>
          <w:b/>
        </w:rPr>
      </w:pPr>
    </w:p>
    <w:p w:rsidR="00B177E9" w:rsidRPr="00C83D52" w:rsidRDefault="00B177E9" w:rsidP="00C83D52">
      <w:pPr>
        <w:spacing w:after="0" w:line="240" w:lineRule="auto"/>
        <w:rPr>
          <w:rFonts w:ascii="Arial" w:hAnsi="Arial" w:cs="Arial"/>
        </w:rPr>
      </w:pPr>
      <w:r w:rsidRPr="00C83D52">
        <w:rPr>
          <w:rFonts w:ascii="Arial" w:hAnsi="Arial" w:cs="Arial"/>
          <w:b/>
        </w:rPr>
        <w:t>Messung der Pflanzenbeleuchtung</w:t>
      </w:r>
      <w:r w:rsidR="00C83D52">
        <w:rPr>
          <w:rFonts w:ascii="Arial" w:hAnsi="Arial" w:cs="Arial"/>
          <w:b/>
        </w:rPr>
        <w:br/>
      </w:r>
    </w:p>
    <w:p w:rsidR="00B177E9" w:rsidRPr="00C83D52" w:rsidRDefault="00B177E9" w:rsidP="00B177E9">
      <w:pPr>
        <w:jc w:val="both"/>
        <w:rPr>
          <w:rFonts w:ascii="Arial" w:hAnsi="Arial" w:cs="Arial"/>
        </w:rPr>
      </w:pPr>
      <w:r w:rsidRPr="00C83D52">
        <w:rPr>
          <w:rFonts w:ascii="Arial" w:hAnsi="Arial" w:cs="Arial"/>
        </w:rPr>
        <w:t xml:space="preserve">Mit dem </w:t>
      </w:r>
      <w:r w:rsidRPr="00A373C7">
        <w:rPr>
          <w:rFonts w:ascii="Arial" w:hAnsi="Arial" w:cs="Arial"/>
          <w:b/>
        </w:rPr>
        <w:t>MAVOSPEC BASE</w:t>
      </w:r>
      <w:r w:rsidRPr="00C83D52">
        <w:rPr>
          <w:rFonts w:ascii="Arial" w:hAnsi="Arial" w:cs="Arial"/>
        </w:rPr>
        <w:t xml:space="preserve"> kann das </w:t>
      </w:r>
      <w:r w:rsidRPr="00A373C7">
        <w:rPr>
          <w:rFonts w:ascii="Arial" w:hAnsi="Arial" w:cs="Arial"/>
          <w:b/>
        </w:rPr>
        <w:t>Spektrum</w:t>
      </w:r>
      <w:r w:rsidRPr="00C83D52">
        <w:rPr>
          <w:rFonts w:ascii="Arial" w:hAnsi="Arial" w:cs="Arial"/>
        </w:rPr>
        <w:t xml:space="preserve"> des Pflanzenbeleuchtung gemessen und angezeigt werden. Es liefert eine erste Aussage ob die für das Pflanzenwachstum erforderlichen Wellenlängenbereiche vorhanden und mit welcher Intensität diese vorhanden sind.</w:t>
      </w:r>
    </w:p>
    <w:p w:rsidR="00B177E9" w:rsidRPr="00C83D52" w:rsidRDefault="00B177E9" w:rsidP="00B177E9">
      <w:pPr>
        <w:jc w:val="both"/>
        <w:rPr>
          <w:rFonts w:ascii="Arial" w:hAnsi="Arial" w:cs="Arial"/>
        </w:rPr>
      </w:pPr>
      <w:r w:rsidRPr="00C83D52">
        <w:rPr>
          <w:rFonts w:ascii="Arial" w:hAnsi="Arial" w:cs="Arial"/>
        </w:rPr>
        <w:t xml:space="preserve">Als weitere Messwert ermittelt das MAVOSPEC BASE die </w:t>
      </w:r>
      <w:proofErr w:type="spellStart"/>
      <w:r w:rsidRPr="00A373C7">
        <w:rPr>
          <w:rFonts w:ascii="Arial" w:hAnsi="Arial" w:cs="Arial"/>
          <w:b/>
        </w:rPr>
        <w:t>photosynthetische</w:t>
      </w:r>
      <w:proofErr w:type="spellEnd"/>
      <w:r w:rsidRPr="00A373C7">
        <w:rPr>
          <w:rFonts w:ascii="Arial" w:hAnsi="Arial" w:cs="Arial"/>
          <w:b/>
        </w:rPr>
        <w:t xml:space="preserve"> Photonenflussdichte PPFD</w:t>
      </w:r>
      <w:r w:rsidRPr="00C83D52">
        <w:rPr>
          <w:rFonts w:ascii="Arial" w:hAnsi="Arial" w:cs="Arial"/>
        </w:rPr>
        <w:t xml:space="preserve"> über den gesamten Spektralbereich und aufgeteilt auf die Bereiche Blau, Grün, Rot. In Anschluss an den PAR Bereich werden auch noch Werte für den UV und FR </w:t>
      </w:r>
      <w:r w:rsidRPr="0095206E">
        <w:rPr>
          <w:rFonts w:ascii="Arial" w:hAnsi="Arial" w:cs="Arial"/>
        </w:rPr>
        <w:t>(</w:t>
      </w:r>
      <w:proofErr w:type="spellStart"/>
      <w:r w:rsidRPr="0095206E">
        <w:rPr>
          <w:rFonts w:ascii="Arial" w:hAnsi="Arial" w:cs="Arial"/>
        </w:rPr>
        <w:t>Far</w:t>
      </w:r>
      <w:proofErr w:type="spellEnd"/>
      <w:r w:rsidRPr="0095206E">
        <w:rPr>
          <w:rFonts w:ascii="Arial" w:hAnsi="Arial" w:cs="Arial"/>
        </w:rPr>
        <w:t xml:space="preserve"> </w:t>
      </w:r>
      <w:proofErr w:type="spellStart"/>
      <w:r w:rsidRPr="0095206E">
        <w:rPr>
          <w:rFonts w:ascii="Arial" w:hAnsi="Arial" w:cs="Arial"/>
        </w:rPr>
        <w:t>Red</w:t>
      </w:r>
      <w:proofErr w:type="spellEnd"/>
      <w:r w:rsidRPr="0095206E">
        <w:rPr>
          <w:rFonts w:ascii="Arial" w:hAnsi="Arial" w:cs="Arial"/>
        </w:rPr>
        <w:t>)</w:t>
      </w:r>
      <w:r w:rsidRPr="00C83D52">
        <w:rPr>
          <w:rFonts w:ascii="Arial" w:hAnsi="Arial" w:cs="Arial"/>
        </w:rPr>
        <w:t xml:space="preserve"> Bereich geliefert. Somit kann die jeweilige Wirkung der Pflanzenbeleuchtung auf Wachstum, Blüte und Geschmack der jeweiligen Pflanze gesondert weitreichend beurteilt und angepasst werden. Folgende Werte sind verfügbar:</w:t>
      </w:r>
    </w:p>
    <w:p w:rsidR="00B177E9" w:rsidRPr="00C83D52" w:rsidRDefault="00B177E9" w:rsidP="00B177E9">
      <w:pPr>
        <w:pStyle w:val="Listenabsatz"/>
        <w:numPr>
          <w:ilvl w:val="0"/>
          <w:numId w:val="6"/>
        </w:numPr>
        <w:rPr>
          <w:rFonts w:ascii="Arial" w:hAnsi="Arial" w:cs="Arial"/>
        </w:rPr>
      </w:pPr>
      <w:r w:rsidRPr="00A373C7">
        <w:rPr>
          <w:rFonts w:ascii="Arial" w:hAnsi="Arial" w:cs="Arial"/>
          <w:b/>
        </w:rPr>
        <w:t>PPFD</w:t>
      </w:r>
      <w:r w:rsidRPr="00C83D52">
        <w:rPr>
          <w:rFonts w:ascii="Arial" w:hAnsi="Arial" w:cs="Arial"/>
        </w:rPr>
        <w:t xml:space="preserve"> </w:t>
      </w:r>
      <w:r w:rsidRPr="00C83D52">
        <w:rPr>
          <w:rFonts w:ascii="Arial" w:hAnsi="Arial" w:cs="Arial"/>
        </w:rPr>
        <w:tab/>
      </w:r>
      <w:r w:rsidRPr="00C83D52">
        <w:rPr>
          <w:rFonts w:ascii="Arial" w:hAnsi="Arial" w:cs="Arial"/>
        </w:rPr>
        <w:tab/>
        <w:t xml:space="preserve">400 - 700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r w:rsidRPr="00A373C7">
        <w:rPr>
          <w:rFonts w:ascii="Arial" w:hAnsi="Arial" w:cs="Arial"/>
          <w:b/>
        </w:rPr>
        <w:t>PPFD_UV</w:t>
      </w:r>
      <w:r w:rsidRPr="00C83D52">
        <w:rPr>
          <w:rFonts w:ascii="Arial" w:hAnsi="Arial" w:cs="Arial"/>
        </w:rPr>
        <w:tab/>
        <w:t xml:space="preserve">380 - 400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A373C7">
        <w:rPr>
          <w:rFonts w:ascii="Arial" w:hAnsi="Arial" w:cs="Arial"/>
          <w:b/>
        </w:rPr>
        <w:t>PPFD_Blau</w:t>
      </w:r>
      <w:proofErr w:type="spellEnd"/>
      <w:r w:rsidRPr="00C83D52">
        <w:rPr>
          <w:rFonts w:ascii="Arial" w:hAnsi="Arial" w:cs="Arial"/>
        </w:rPr>
        <w:tab/>
        <w:t xml:space="preserve">400 - 500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A373C7">
        <w:rPr>
          <w:rFonts w:ascii="Arial" w:hAnsi="Arial" w:cs="Arial"/>
          <w:b/>
        </w:rPr>
        <w:t>PPFD_Grün</w:t>
      </w:r>
      <w:proofErr w:type="spellEnd"/>
      <w:r w:rsidRPr="00C83D52">
        <w:rPr>
          <w:rFonts w:ascii="Arial" w:hAnsi="Arial" w:cs="Arial"/>
        </w:rPr>
        <w:t xml:space="preserve"> </w:t>
      </w:r>
      <w:r w:rsidRPr="00C83D52">
        <w:rPr>
          <w:rFonts w:ascii="Arial" w:hAnsi="Arial" w:cs="Arial"/>
        </w:rPr>
        <w:tab/>
        <w:t xml:space="preserve">500 - 600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proofErr w:type="spellStart"/>
      <w:r w:rsidRPr="00A373C7">
        <w:rPr>
          <w:rFonts w:ascii="Arial" w:hAnsi="Arial" w:cs="Arial"/>
          <w:b/>
        </w:rPr>
        <w:t>PPFD_Rot</w:t>
      </w:r>
      <w:proofErr w:type="spellEnd"/>
      <w:r w:rsidRPr="00C83D52">
        <w:rPr>
          <w:rFonts w:ascii="Arial" w:hAnsi="Arial" w:cs="Arial"/>
        </w:rPr>
        <w:tab/>
        <w:t xml:space="preserve">600 - 700 </w:t>
      </w:r>
      <w:proofErr w:type="spellStart"/>
      <w:r w:rsidRPr="00C83D52">
        <w:rPr>
          <w:rFonts w:ascii="Arial" w:hAnsi="Arial" w:cs="Arial"/>
        </w:rPr>
        <w:t>nm</w:t>
      </w:r>
      <w:proofErr w:type="spellEnd"/>
    </w:p>
    <w:p w:rsidR="00B177E9" w:rsidRPr="00C83D52" w:rsidRDefault="00B177E9" w:rsidP="00B177E9">
      <w:pPr>
        <w:pStyle w:val="Listenabsatz"/>
        <w:numPr>
          <w:ilvl w:val="0"/>
          <w:numId w:val="6"/>
        </w:numPr>
        <w:rPr>
          <w:rFonts w:ascii="Arial" w:hAnsi="Arial" w:cs="Arial"/>
        </w:rPr>
      </w:pPr>
      <w:r w:rsidRPr="00A373C7">
        <w:rPr>
          <w:rFonts w:ascii="Arial" w:hAnsi="Arial" w:cs="Arial"/>
          <w:b/>
        </w:rPr>
        <w:t>PPFD_FR</w:t>
      </w:r>
      <w:r w:rsidRPr="00C83D52">
        <w:rPr>
          <w:rFonts w:ascii="Arial" w:hAnsi="Arial" w:cs="Arial"/>
        </w:rPr>
        <w:tab/>
        <w:t xml:space="preserve">700 - 780 </w:t>
      </w:r>
      <w:proofErr w:type="spellStart"/>
      <w:r w:rsidRPr="00C83D52">
        <w:rPr>
          <w:rFonts w:ascii="Arial" w:hAnsi="Arial" w:cs="Arial"/>
        </w:rPr>
        <w:t>nm</w:t>
      </w:r>
      <w:proofErr w:type="spellEnd"/>
    </w:p>
    <w:p w:rsidR="00B177E9" w:rsidRPr="00C83D52" w:rsidRDefault="00B177E9" w:rsidP="00B177E9">
      <w:pPr>
        <w:jc w:val="both"/>
        <w:rPr>
          <w:rFonts w:ascii="Arial" w:hAnsi="Arial" w:cs="Arial"/>
        </w:rPr>
      </w:pPr>
      <w:r w:rsidRPr="00C83D52">
        <w:rPr>
          <w:rFonts w:ascii="Arial" w:hAnsi="Arial" w:cs="Arial"/>
        </w:rPr>
        <w:t xml:space="preserve">In Verbindung mit einem Notebook und dem </w:t>
      </w:r>
      <w:r w:rsidRPr="0095206E">
        <w:rPr>
          <w:rFonts w:ascii="Arial" w:hAnsi="Arial" w:cs="Arial"/>
          <w:b/>
        </w:rPr>
        <w:t>EXCEL Template zum Datalogging</w:t>
      </w:r>
      <w:r w:rsidRPr="00C83D52">
        <w:rPr>
          <w:rFonts w:ascii="Arial" w:hAnsi="Arial" w:cs="Arial"/>
        </w:rPr>
        <w:t xml:space="preserve"> kann auch eine Aufzeichnung aller Messwerte über den Tagesverlauf erfolgen. </w:t>
      </w:r>
    </w:p>
    <w:p w:rsidR="00AD0FC7" w:rsidRPr="00C83D52" w:rsidRDefault="00AD0FC7" w:rsidP="00143A86">
      <w:pPr>
        <w:rPr>
          <w:rFonts w:ascii="Arial" w:eastAsia="Calibri" w:hAnsi="Arial" w:cs="Arial"/>
        </w:rPr>
      </w:pPr>
    </w:p>
    <w:sectPr w:rsidR="00AD0FC7" w:rsidRPr="00C83D52" w:rsidSect="00BE00E3">
      <w:headerReference w:type="default" r:id="rId9"/>
      <w:footerReference w:type="default" r:id="rId10"/>
      <w:pgSz w:w="11906" w:h="16838" w:code="9"/>
      <w:pgMar w:top="1701" w:right="746" w:bottom="124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E9" w:rsidRDefault="00B177E9">
      <w:r>
        <w:separator/>
      </w:r>
    </w:p>
  </w:endnote>
  <w:endnote w:type="continuationSeparator" w:id="0">
    <w:p w:rsidR="00B177E9" w:rsidRDefault="00B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IDLI N+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BE00E3" w:rsidRDefault="00BE00E3" w:rsidP="00BE00E3">
    <w:pPr>
      <w:pStyle w:val="Default"/>
      <w:spacing w:line="200" w:lineRule="exact"/>
      <w:jc w:val="center"/>
      <w:rPr>
        <w:rFonts w:ascii="Arial" w:hAnsi="Arial" w:cs="Arial"/>
        <w:sz w:val="16"/>
        <w:szCs w:val="16"/>
      </w:rPr>
    </w:pPr>
    <w:r w:rsidRPr="00BE00E3">
      <w:rPr>
        <w:rFonts w:ascii="Arial" w:hAnsi="Arial" w:cs="Arial"/>
        <w:sz w:val="16"/>
        <w:szCs w:val="16"/>
      </w:rPr>
      <w:t>© GOSSEN Foto- und Lichtmesstechnik GmbH, Lina-Ammon-Str. 22, 90471 Nürnberg – www.gossen-photo.de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E9" w:rsidRDefault="00B177E9">
      <w:r>
        <w:separator/>
      </w:r>
    </w:p>
  </w:footnote>
  <w:footnote w:type="continuationSeparator" w:id="0">
    <w:p w:rsidR="00B177E9" w:rsidRDefault="00B1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A97396" w:rsidRDefault="00517839" w:rsidP="009565BC">
    <w:pPr>
      <w:rPr>
        <w:rFonts w:cs="Arial"/>
        <w:b/>
        <w:sz w:val="36"/>
        <w:szCs w:val="36"/>
      </w:rPr>
    </w:pPr>
    <w:r>
      <w:rPr>
        <w:rFonts w:cs="Arial"/>
        <w:b/>
        <w:noProof/>
        <w:sz w:val="36"/>
        <w:szCs w:val="36"/>
      </w:rPr>
      <w:drawing>
        <wp:anchor distT="0" distB="0" distL="114300" distR="114300" simplePos="0" relativeHeight="251657728" behindDoc="0" locked="0" layoutInCell="1" allowOverlap="1">
          <wp:simplePos x="0" y="0"/>
          <wp:positionH relativeFrom="column">
            <wp:posOffset>4438650</wp:posOffset>
          </wp:positionH>
          <wp:positionV relativeFrom="paragraph">
            <wp:posOffset>-57785</wp:posOffset>
          </wp:positionV>
          <wp:extent cx="1933575" cy="295275"/>
          <wp:effectExtent l="0" t="0" r="9525" b="9525"/>
          <wp:wrapNone/>
          <wp:docPr id="12" name="Bild 12" descr="Gossen_Lich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ssen_LichtF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0C" w:rsidRPr="00D6661B" w:rsidRDefault="0048630C" w:rsidP="00ED4C4A">
    <w:pPr>
      <w:pStyle w:val="Kopfzeile"/>
      <w:ind w:right="-108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B81"/>
    <w:multiLevelType w:val="hybridMultilevel"/>
    <w:tmpl w:val="6E008DCE"/>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8A043F"/>
    <w:multiLevelType w:val="hybridMultilevel"/>
    <w:tmpl w:val="AF062686"/>
    <w:lvl w:ilvl="0" w:tplc="A314D6EA">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7B37E4"/>
    <w:multiLevelType w:val="hybridMultilevel"/>
    <w:tmpl w:val="1E921C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A3186B"/>
    <w:multiLevelType w:val="hybridMultilevel"/>
    <w:tmpl w:val="FB9A06E6"/>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110488"/>
    <w:multiLevelType w:val="hybridMultilevel"/>
    <w:tmpl w:val="0974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E1D9F"/>
    <w:multiLevelType w:val="hybridMultilevel"/>
    <w:tmpl w:val="388A8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9"/>
    <w:rsid w:val="000076DE"/>
    <w:rsid w:val="000165E5"/>
    <w:rsid w:val="00023C2C"/>
    <w:rsid w:val="000657FA"/>
    <w:rsid w:val="000866F8"/>
    <w:rsid w:val="0008694A"/>
    <w:rsid w:val="00095B59"/>
    <w:rsid w:val="000C015C"/>
    <w:rsid w:val="000E63A0"/>
    <w:rsid w:val="000F1C09"/>
    <w:rsid w:val="00120650"/>
    <w:rsid w:val="00143A86"/>
    <w:rsid w:val="0015444A"/>
    <w:rsid w:val="00155A3F"/>
    <w:rsid w:val="00156413"/>
    <w:rsid w:val="00184C33"/>
    <w:rsid w:val="001F151C"/>
    <w:rsid w:val="001F210D"/>
    <w:rsid w:val="001F71CD"/>
    <w:rsid w:val="0021095E"/>
    <w:rsid w:val="00215D76"/>
    <w:rsid w:val="002233C8"/>
    <w:rsid w:val="002248E0"/>
    <w:rsid w:val="00271205"/>
    <w:rsid w:val="002745D1"/>
    <w:rsid w:val="0028194D"/>
    <w:rsid w:val="00295ED6"/>
    <w:rsid w:val="002A5D4F"/>
    <w:rsid w:val="002F1186"/>
    <w:rsid w:val="003346B3"/>
    <w:rsid w:val="00347BFA"/>
    <w:rsid w:val="00363D60"/>
    <w:rsid w:val="00376D18"/>
    <w:rsid w:val="003A73F6"/>
    <w:rsid w:val="003B0113"/>
    <w:rsid w:val="003B229D"/>
    <w:rsid w:val="003B3A80"/>
    <w:rsid w:val="003C19EF"/>
    <w:rsid w:val="003D57B3"/>
    <w:rsid w:val="00416D54"/>
    <w:rsid w:val="004329A9"/>
    <w:rsid w:val="0045006B"/>
    <w:rsid w:val="00454A07"/>
    <w:rsid w:val="0046609F"/>
    <w:rsid w:val="00466902"/>
    <w:rsid w:val="0048630C"/>
    <w:rsid w:val="0049488B"/>
    <w:rsid w:val="004C32EB"/>
    <w:rsid w:val="004C5A75"/>
    <w:rsid w:val="004F75F3"/>
    <w:rsid w:val="00510450"/>
    <w:rsid w:val="00517839"/>
    <w:rsid w:val="00530D82"/>
    <w:rsid w:val="00536B93"/>
    <w:rsid w:val="00540BBB"/>
    <w:rsid w:val="00542A0E"/>
    <w:rsid w:val="00550DEB"/>
    <w:rsid w:val="00552A69"/>
    <w:rsid w:val="005563ED"/>
    <w:rsid w:val="005840B4"/>
    <w:rsid w:val="005969AA"/>
    <w:rsid w:val="005978DA"/>
    <w:rsid w:val="005E3DE8"/>
    <w:rsid w:val="005F4CDC"/>
    <w:rsid w:val="005F7225"/>
    <w:rsid w:val="00605F66"/>
    <w:rsid w:val="006B6CC7"/>
    <w:rsid w:val="006D4AD9"/>
    <w:rsid w:val="006E1C0B"/>
    <w:rsid w:val="006E3680"/>
    <w:rsid w:val="006E71A4"/>
    <w:rsid w:val="006F2A99"/>
    <w:rsid w:val="00717FD7"/>
    <w:rsid w:val="007378D2"/>
    <w:rsid w:val="00766AD8"/>
    <w:rsid w:val="00767C68"/>
    <w:rsid w:val="007754A6"/>
    <w:rsid w:val="007962D1"/>
    <w:rsid w:val="00796787"/>
    <w:rsid w:val="007C197C"/>
    <w:rsid w:val="007D78FD"/>
    <w:rsid w:val="007F59A4"/>
    <w:rsid w:val="00817289"/>
    <w:rsid w:val="008206DF"/>
    <w:rsid w:val="00834068"/>
    <w:rsid w:val="0085120E"/>
    <w:rsid w:val="008749F6"/>
    <w:rsid w:val="008804AE"/>
    <w:rsid w:val="00881A7D"/>
    <w:rsid w:val="00883EFC"/>
    <w:rsid w:val="00892BED"/>
    <w:rsid w:val="008A15DA"/>
    <w:rsid w:val="008A3D3E"/>
    <w:rsid w:val="008A4E15"/>
    <w:rsid w:val="008A5F61"/>
    <w:rsid w:val="008D372C"/>
    <w:rsid w:val="00916E31"/>
    <w:rsid w:val="00941403"/>
    <w:rsid w:val="0094228C"/>
    <w:rsid w:val="0095206E"/>
    <w:rsid w:val="00952F45"/>
    <w:rsid w:val="009565BC"/>
    <w:rsid w:val="009657D9"/>
    <w:rsid w:val="00970036"/>
    <w:rsid w:val="009B7BC1"/>
    <w:rsid w:val="009E063D"/>
    <w:rsid w:val="00A03FD2"/>
    <w:rsid w:val="00A0705E"/>
    <w:rsid w:val="00A151E7"/>
    <w:rsid w:val="00A174F5"/>
    <w:rsid w:val="00A34174"/>
    <w:rsid w:val="00A373C7"/>
    <w:rsid w:val="00A97396"/>
    <w:rsid w:val="00AA60EB"/>
    <w:rsid w:val="00AD0FC7"/>
    <w:rsid w:val="00AE03AE"/>
    <w:rsid w:val="00AE26E3"/>
    <w:rsid w:val="00AE2FD2"/>
    <w:rsid w:val="00B0735F"/>
    <w:rsid w:val="00B177E9"/>
    <w:rsid w:val="00B2499F"/>
    <w:rsid w:val="00B37E7F"/>
    <w:rsid w:val="00B41423"/>
    <w:rsid w:val="00B54B59"/>
    <w:rsid w:val="00B778B0"/>
    <w:rsid w:val="00BC3F5F"/>
    <w:rsid w:val="00BD02B7"/>
    <w:rsid w:val="00BE00E3"/>
    <w:rsid w:val="00C139FA"/>
    <w:rsid w:val="00C16218"/>
    <w:rsid w:val="00C210AA"/>
    <w:rsid w:val="00C218A6"/>
    <w:rsid w:val="00C33949"/>
    <w:rsid w:val="00C35994"/>
    <w:rsid w:val="00C66AC5"/>
    <w:rsid w:val="00C67C67"/>
    <w:rsid w:val="00C77D79"/>
    <w:rsid w:val="00C83D52"/>
    <w:rsid w:val="00C93970"/>
    <w:rsid w:val="00CB40CB"/>
    <w:rsid w:val="00CE77E6"/>
    <w:rsid w:val="00CF13B2"/>
    <w:rsid w:val="00D322EB"/>
    <w:rsid w:val="00D34518"/>
    <w:rsid w:val="00D62119"/>
    <w:rsid w:val="00D6661B"/>
    <w:rsid w:val="00D94052"/>
    <w:rsid w:val="00DA0163"/>
    <w:rsid w:val="00DC1354"/>
    <w:rsid w:val="00DC3B19"/>
    <w:rsid w:val="00DC3C67"/>
    <w:rsid w:val="00E14C58"/>
    <w:rsid w:val="00E3308B"/>
    <w:rsid w:val="00E724D9"/>
    <w:rsid w:val="00E835EA"/>
    <w:rsid w:val="00EB32FF"/>
    <w:rsid w:val="00EB6F36"/>
    <w:rsid w:val="00ED4C4A"/>
    <w:rsid w:val="00EE2ADE"/>
    <w:rsid w:val="00EE308A"/>
    <w:rsid w:val="00EF38E0"/>
    <w:rsid w:val="00F723D6"/>
    <w:rsid w:val="00FC7412"/>
    <w:rsid w:val="00FE5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1C7C332-D83D-4A38-8DEB-4EF25D6C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7E9"/>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8A3D3E"/>
    <w:pPr>
      <w:keepNext/>
      <w:tabs>
        <w:tab w:val="left" w:pos="1418"/>
        <w:tab w:val="left" w:pos="4962"/>
      </w:tabs>
      <w:jc w:val="both"/>
      <w:outlineLvl w:val="0"/>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20650"/>
    <w:pPr>
      <w:tabs>
        <w:tab w:val="center" w:pos="4536"/>
        <w:tab w:val="right" w:pos="9072"/>
      </w:tabs>
    </w:pPr>
  </w:style>
  <w:style w:type="paragraph" w:styleId="Fuzeile">
    <w:name w:val="footer"/>
    <w:basedOn w:val="Standard"/>
    <w:rsid w:val="00120650"/>
    <w:pPr>
      <w:tabs>
        <w:tab w:val="center" w:pos="4536"/>
        <w:tab w:val="right" w:pos="9072"/>
      </w:tabs>
    </w:pPr>
  </w:style>
  <w:style w:type="paragraph" w:customStyle="1" w:styleId="Default">
    <w:name w:val="Default"/>
    <w:rsid w:val="00120650"/>
    <w:pPr>
      <w:widowControl w:val="0"/>
      <w:autoSpaceDE w:val="0"/>
      <w:autoSpaceDN w:val="0"/>
      <w:adjustRightInd w:val="0"/>
    </w:pPr>
    <w:rPr>
      <w:rFonts w:ascii="OIDLI N+ Helvetica Neue" w:hAnsi="OIDLI N+ Helvetica Neue" w:cs="OIDLI N+ Helvetica Neue"/>
      <w:color w:val="000000"/>
      <w:sz w:val="24"/>
      <w:szCs w:val="24"/>
    </w:rPr>
  </w:style>
  <w:style w:type="table" w:styleId="Tabellenraster">
    <w:name w:val="Table Grid"/>
    <w:basedOn w:val="NormaleTabelle"/>
    <w:rsid w:val="0012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adresse">
    <w:name w:val="Briefkopfadresse"/>
    <w:basedOn w:val="Standard"/>
    <w:rsid w:val="008A3D3E"/>
  </w:style>
  <w:style w:type="paragraph" w:styleId="Textkrper">
    <w:name w:val="Body Text"/>
    <w:basedOn w:val="Standard"/>
    <w:rsid w:val="008A3D3E"/>
    <w:pPr>
      <w:tabs>
        <w:tab w:val="left" w:pos="1418"/>
        <w:tab w:val="left" w:pos="4962"/>
      </w:tabs>
    </w:pPr>
  </w:style>
  <w:style w:type="paragraph" w:customStyle="1" w:styleId="Adresse">
    <w:name w:val="Adresse"/>
    <w:basedOn w:val="Standard"/>
    <w:rsid w:val="008A3D3E"/>
    <w:pPr>
      <w:framePr w:w="4785" w:h="1985" w:hRule="exact" w:wrap="notBeside" w:vAnchor="page" w:hAnchor="page" w:x="1135" w:y="2978"/>
      <w:spacing w:line="240" w:lineRule="atLeast"/>
    </w:pPr>
  </w:style>
  <w:style w:type="paragraph" w:customStyle="1" w:styleId="Referenz-Zeile">
    <w:name w:val="Referenz-Zeile"/>
    <w:basedOn w:val="Standard"/>
    <w:rsid w:val="008A3D3E"/>
    <w:pPr>
      <w:framePr w:h="0" w:hSpace="141" w:wrap="around" w:vAnchor="text" w:hAnchor="text" w:y="1"/>
      <w:tabs>
        <w:tab w:val="left" w:pos="1"/>
        <w:tab w:val="left" w:pos="2127"/>
        <w:tab w:val="left" w:pos="3686"/>
        <w:tab w:val="left" w:pos="5812"/>
        <w:tab w:val="left" w:pos="7655"/>
      </w:tabs>
    </w:pPr>
    <w:rPr>
      <w:sz w:val="16"/>
    </w:rPr>
  </w:style>
  <w:style w:type="paragraph" w:customStyle="1" w:styleId="Adr-klein">
    <w:name w:val="Adr-klein"/>
    <w:basedOn w:val="Standard"/>
    <w:rsid w:val="008A3D3E"/>
    <w:pPr>
      <w:framePr w:w="4196" w:h="289" w:wrap="around" w:vAnchor="page" w:hAnchor="page" w:x="1135" w:y="2553"/>
    </w:pPr>
    <w:rPr>
      <w:b/>
      <w:sz w:val="12"/>
    </w:rPr>
  </w:style>
  <w:style w:type="paragraph" w:styleId="Sprechblasentext">
    <w:name w:val="Balloon Text"/>
    <w:basedOn w:val="Standard"/>
    <w:semiHidden/>
    <w:rsid w:val="00C35994"/>
    <w:rPr>
      <w:rFonts w:ascii="Tahoma" w:hAnsi="Tahoma" w:cs="Tahoma"/>
      <w:sz w:val="16"/>
      <w:szCs w:val="16"/>
    </w:rPr>
  </w:style>
  <w:style w:type="paragraph" w:styleId="Titel">
    <w:name w:val="Title"/>
    <w:basedOn w:val="Standard"/>
    <w:qFormat/>
    <w:rsid w:val="00156413"/>
    <w:pPr>
      <w:spacing w:before="120" w:after="240"/>
      <w:jc w:val="center"/>
    </w:pPr>
    <w:rPr>
      <w:b/>
      <w:kern w:val="28"/>
      <w:sz w:val="28"/>
    </w:rPr>
  </w:style>
  <w:style w:type="paragraph" w:styleId="Listenabsatz">
    <w:name w:val="List Paragraph"/>
    <w:basedOn w:val="Standard"/>
    <w:uiPriority w:val="34"/>
    <w:qFormat/>
    <w:rsid w:val="00B17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ri\Documents\Benutzerdefinierte%20Office-Vorlagen\vl_leer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vl_leerblatt.dotx</Template>
  <TotalTime>0</TotalTime>
  <Pages>3</Pages>
  <Words>854</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Klaus-Peter Richter</dc:creator>
  <cp:lastModifiedBy>Klaus-Peter Richter</cp:lastModifiedBy>
  <cp:revision>6</cp:revision>
  <cp:lastPrinted>2011-04-07T13:35:00Z</cp:lastPrinted>
  <dcterms:created xsi:type="dcterms:W3CDTF">2018-11-27T15:24:00Z</dcterms:created>
  <dcterms:modified xsi:type="dcterms:W3CDTF">2020-02-13T09:06:00Z</dcterms:modified>
</cp:coreProperties>
</file>